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87" w:rsidRDefault="00604E87" w:rsidP="00640C1B">
      <w:pPr>
        <w:jc w:val="center"/>
        <w:rPr>
          <w:rFonts w:ascii="Garamond" w:hAnsi="Garamond" w:cs="Calibri-Bold"/>
          <w:bCs/>
          <w:u w:val="single"/>
        </w:rPr>
      </w:pPr>
    </w:p>
    <w:p w:rsidR="00C46C51" w:rsidRPr="002B4704" w:rsidRDefault="00C46C51" w:rsidP="00640C1B">
      <w:pPr>
        <w:jc w:val="center"/>
        <w:rPr>
          <w:rFonts w:ascii="Garamond" w:hAnsi="Garamond" w:cs="Calibri-Bold"/>
          <w:b/>
          <w:bCs/>
          <w:u w:val="single"/>
        </w:rPr>
      </w:pPr>
      <w:bookmarkStart w:id="0" w:name="_GoBack"/>
      <w:bookmarkEnd w:id="0"/>
    </w:p>
    <w:p w:rsidR="00640C1B" w:rsidRPr="00880269" w:rsidRDefault="00CB3475" w:rsidP="00640C1B">
      <w:pPr>
        <w:jc w:val="center"/>
        <w:rPr>
          <w:rFonts w:ascii="Garamond" w:hAnsi="Garamond" w:cs="Calibri-Bold"/>
          <w:b/>
          <w:bCs/>
          <w:sz w:val="28"/>
          <w:szCs w:val="28"/>
          <w:u w:val="single"/>
        </w:rPr>
      </w:pPr>
      <w:r w:rsidRPr="00880269">
        <w:rPr>
          <w:rFonts w:ascii="Garamond" w:hAnsi="Garamond" w:cs="Calibri-Bold"/>
          <w:b/>
          <w:bCs/>
          <w:sz w:val="28"/>
          <w:szCs w:val="28"/>
          <w:u w:val="single"/>
        </w:rPr>
        <w:t>Planificación</w:t>
      </w:r>
      <w:r w:rsidR="00640C1B" w:rsidRPr="00880269">
        <w:rPr>
          <w:rFonts w:ascii="Garamond" w:hAnsi="Garamond" w:cs="Calibri-Bold"/>
          <w:b/>
          <w:bCs/>
          <w:sz w:val="28"/>
          <w:szCs w:val="28"/>
          <w:u w:val="single"/>
        </w:rPr>
        <w:t xml:space="preserve"> de </w:t>
      </w:r>
      <w:r w:rsidR="00095B41" w:rsidRPr="00880269">
        <w:rPr>
          <w:rFonts w:ascii="Garamond" w:hAnsi="Garamond" w:cs="Calibri-Bold"/>
          <w:b/>
          <w:bCs/>
          <w:sz w:val="28"/>
          <w:szCs w:val="28"/>
          <w:u w:val="single"/>
        </w:rPr>
        <w:t xml:space="preserve">Lenguaje y Comunicación </w:t>
      </w:r>
      <w:r w:rsidR="00880269">
        <w:rPr>
          <w:rFonts w:ascii="Garamond" w:hAnsi="Garamond" w:cs="Calibri-Bold"/>
          <w:b/>
          <w:bCs/>
          <w:sz w:val="28"/>
          <w:szCs w:val="28"/>
          <w:u w:val="single"/>
        </w:rPr>
        <w:t>Julio</w:t>
      </w:r>
    </w:p>
    <w:p w:rsidR="00640C1B" w:rsidRPr="0042011F" w:rsidRDefault="00640C1B" w:rsidP="00640C1B">
      <w:pPr>
        <w:jc w:val="center"/>
        <w:rPr>
          <w:rFonts w:ascii="Garamond" w:hAnsi="Garamond" w:cs="Calibri-Bold"/>
          <w:bCs/>
          <w:u w:val="single"/>
        </w:rPr>
      </w:pPr>
    </w:p>
    <w:p w:rsidR="00F67F72" w:rsidRPr="00880269" w:rsidRDefault="00F67F72" w:rsidP="00F67F72">
      <w:pPr>
        <w:rPr>
          <w:rFonts w:ascii="Garamond" w:hAnsi="Garamond" w:cs="Calibri-Bold"/>
          <w:b/>
          <w:bCs/>
          <w:sz w:val="28"/>
          <w:szCs w:val="28"/>
        </w:rPr>
      </w:pPr>
      <w:r w:rsidRPr="00880269">
        <w:rPr>
          <w:rFonts w:ascii="Garamond" w:hAnsi="Garamond" w:cs="Calibri-Bold"/>
          <w:b/>
          <w:bCs/>
          <w:sz w:val="28"/>
          <w:szCs w:val="28"/>
        </w:rPr>
        <w:t>Asignatura:</w:t>
      </w:r>
      <w:r w:rsidR="00095B41" w:rsidRPr="00880269">
        <w:rPr>
          <w:rFonts w:ascii="Garamond" w:hAnsi="Garamond" w:cs="Calibri-Bold"/>
          <w:b/>
          <w:bCs/>
          <w:sz w:val="28"/>
          <w:szCs w:val="28"/>
          <w:u w:val="single"/>
        </w:rPr>
        <w:t xml:space="preserve"> </w:t>
      </w:r>
      <w:r w:rsidR="00095B41" w:rsidRPr="00880269">
        <w:rPr>
          <w:rFonts w:ascii="Garamond" w:hAnsi="Garamond" w:cs="Calibri-Bold"/>
          <w:b/>
          <w:bCs/>
          <w:sz w:val="28"/>
          <w:szCs w:val="28"/>
        </w:rPr>
        <w:t>Lenguaje y</w:t>
      </w:r>
      <w:r w:rsidR="00095B41" w:rsidRPr="00880269">
        <w:rPr>
          <w:rFonts w:ascii="Garamond" w:hAnsi="Garamond" w:cs="Calibri-Bold"/>
          <w:b/>
          <w:bCs/>
          <w:sz w:val="28"/>
          <w:szCs w:val="28"/>
          <w:u w:val="single"/>
        </w:rPr>
        <w:t xml:space="preserve"> </w:t>
      </w:r>
      <w:r w:rsidR="00095B41" w:rsidRPr="00880269">
        <w:rPr>
          <w:rFonts w:ascii="Garamond" w:hAnsi="Garamond" w:cs="Calibri-Bold"/>
          <w:b/>
          <w:bCs/>
          <w:sz w:val="28"/>
          <w:szCs w:val="28"/>
        </w:rPr>
        <w:t>Comunicación</w:t>
      </w:r>
      <w:r w:rsidRPr="00880269">
        <w:rPr>
          <w:rFonts w:ascii="Garamond" w:hAnsi="Garamond" w:cs="Calibri-Bold"/>
          <w:bCs/>
          <w:sz w:val="28"/>
          <w:szCs w:val="28"/>
        </w:rPr>
        <w:tab/>
      </w:r>
      <w:r w:rsidRPr="00880269">
        <w:rPr>
          <w:rFonts w:ascii="Garamond" w:hAnsi="Garamond" w:cs="Calibri-Bold"/>
          <w:bCs/>
          <w:sz w:val="28"/>
          <w:szCs w:val="28"/>
        </w:rPr>
        <w:tab/>
      </w:r>
      <w:r w:rsidRPr="00880269">
        <w:rPr>
          <w:rFonts w:ascii="Garamond" w:hAnsi="Garamond" w:cs="Calibri-Bold"/>
          <w:bCs/>
          <w:sz w:val="28"/>
          <w:szCs w:val="28"/>
        </w:rPr>
        <w:tab/>
      </w:r>
      <w:r w:rsidRPr="00880269">
        <w:rPr>
          <w:rFonts w:ascii="Garamond" w:hAnsi="Garamond" w:cs="Calibri-Bold"/>
          <w:bCs/>
          <w:sz w:val="28"/>
          <w:szCs w:val="28"/>
        </w:rPr>
        <w:tab/>
      </w:r>
      <w:r w:rsidRPr="00880269">
        <w:rPr>
          <w:rFonts w:ascii="Garamond" w:hAnsi="Garamond" w:cs="Calibri-Bold"/>
          <w:bCs/>
          <w:sz w:val="28"/>
          <w:szCs w:val="28"/>
        </w:rPr>
        <w:tab/>
      </w:r>
      <w:r w:rsidR="00F603A4" w:rsidRPr="00880269">
        <w:rPr>
          <w:rFonts w:ascii="Garamond" w:hAnsi="Garamond" w:cs="Calibri-Bold"/>
          <w:bCs/>
          <w:sz w:val="28"/>
          <w:szCs w:val="28"/>
        </w:rPr>
        <w:tab/>
      </w:r>
      <w:r w:rsidR="00F603A4" w:rsidRPr="00880269">
        <w:rPr>
          <w:rFonts w:ascii="Garamond" w:hAnsi="Garamond" w:cs="Calibri-Bold"/>
          <w:bCs/>
          <w:sz w:val="28"/>
          <w:szCs w:val="28"/>
        </w:rPr>
        <w:tab/>
      </w:r>
      <w:r w:rsidR="00F603A4" w:rsidRPr="00880269">
        <w:rPr>
          <w:rFonts w:ascii="Garamond" w:hAnsi="Garamond" w:cs="Calibri-Bold"/>
          <w:bCs/>
          <w:sz w:val="28"/>
          <w:szCs w:val="28"/>
        </w:rPr>
        <w:tab/>
      </w:r>
      <w:r w:rsidR="00F603A4" w:rsidRPr="00880269">
        <w:rPr>
          <w:rFonts w:ascii="Garamond" w:hAnsi="Garamond" w:cs="Calibri-Bold"/>
          <w:bCs/>
          <w:sz w:val="28"/>
          <w:szCs w:val="28"/>
        </w:rPr>
        <w:tab/>
      </w:r>
      <w:r w:rsidRPr="00880269">
        <w:rPr>
          <w:rFonts w:ascii="Garamond" w:hAnsi="Garamond" w:cs="Calibri-Bold"/>
          <w:b/>
          <w:bCs/>
          <w:sz w:val="28"/>
          <w:szCs w:val="28"/>
        </w:rPr>
        <w:t>Nivel/curso</w:t>
      </w:r>
      <w:r w:rsidR="00640C1B" w:rsidRPr="00880269">
        <w:rPr>
          <w:rFonts w:ascii="Garamond" w:hAnsi="Garamond" w:cs="Calibri-Bold"/>
          <w:bCs/>
          <w:sz w:val="28"/>
          <w:szCs w:val="28"/>
        </w:rPr>
        <w:t xml:space="preserve">: 2do </w:t>
      </w:r>
      <w:r w:rsidRPr="00880269">
        <w:rPr>
          <w:rFonts w:ascii="Garamond" w:hAnsi="Garamond" w:cs="Calibri-Bold"/>
          <w:bCs/>
          <w:sz w:val="28"/>
          <w:szCs w:val="28"/>
        </w:rPr>
        <w:t>BÁSICO</w:t>
      </w:r>
    </w:p>
    <w:p w:rsidR="001B681D" w:rsidRDefault="001B681D" w:rsidP="001B681D">
      <w:pPr>
        <w:spacing w:after="0" w:line="240" w:lineRule="auto"/>
        <w:jc w:val="both"/>
        <w:rPr>
          <w:rFonts w:ascii="Garamond" w:hAnsi="Garamond" w:cs="Calibri-Bold"/>
          <w:b/>
          <w:bCs/>
          <w:sz w:val="28"/>
          <w:szCs w:val="28"/>
        </w:rPr>
      </w:pPr>
    </w:p>
    <w:p w:rsidR="00880269" w:rsidRDefault="00880269" w:rsidP="00880269">
      <w:pPr>
        <w:spacing w:line="240" w:lineRule="auto"/>
        <w:jc w:val="both"/>
        <w:rPr>
          <w:rFonts w:ascii="Garamond" w:hAnsi="Garamond" w:cs="Calibri-Bold"/>
          <w:b/>
          <w:bCs/>
          <w:sz w:val="28"/>
          <w:szCs w:val="28"/>
          <w:lang w:val="es-MX"/>
        </w:rPr>
      </w:pPr>
      <w:r w:rsidRPr="00880269">
        <w:rPr>
          <w:rFonts w:ascii="Garamond" w:hAnsi="Garamond" w:cs="Calibri-Bold"/>
          <w:b/>
          <w:bCs/>
          <w:sz w:val="28"/>
          <w:szCs w:val="28"/>
          <w:lang w:val="es-MX"/>
        </w:rPr>
        <w:t xml:space="preserve">Objetivo de Aprendizaje (OA): </w:t>
      </w:r>
      <w:r w:rsidRPr="00880269">
        <w:rPr>
          <w:rFonts w:ascii="Garamond" w:hAnsi="Garamond" w:cs="Calibri-Bold"/>
          <w:bCs/>
          <w:sz w:val="28"/>
          <w:szCs w:val="28"/>
          <w:lang w:val="es-MX"/>
        </w:rPr>
        <w:t>Comprender textos aplicando estrategias de comprensión lectora, por ejemplo</w:t>
      </w:r>
      <w:r w:rsidRPr="00880269">
        <w:rPr>
          <w:rFonts w:ascii="Garamond" w:hAnsi="Garamond" w:cs="Calibri-Bold"/>
          <w:bCs/>
          <w:sz w:val="28"/>
          <w:szCs w:val="28"/>
          <w:lang w:val="es-MX"/>
        </w:rPr>
        <w:tab/>
        <w:t xml:space="preserve">  relacionar la información del texto con sus experiencias y conocimiento, subrayar información relevante en el texto, organizar la información en esquemas o mapas conceptuales, extrayendo información explicita</w:t>
      </w:r>
      <w:r w:rsidRPr="00880269">
        <w:rPr>
          <w:rFonts w:ascii="Garamond" w:hAnsi="Garamond" w:cs="Calibri-Bold"/>
          <w:b/>
          <w:bCs/>
          <w:sz w:val="28"/>
          <w:szCs w:val="28"/>
          <w:lang w:val="es-MX"/>
        </w:rPr>
        <w:t xml:space="preserve">. </w:t>
      </w:r>
      <w:r w:rsidRPr="00880269">
        <w:rPr>
          <w:rFonts w:ascii="Garamond" w:hAnsi="Garamond" w:cs="Calibri-Bold"/>
          <w:b/>
          <w:bCs/>
          <w:sz w:val="28"/>
          <w:szCs w:val="28"/>
          <w:lang w:val="es-MX"/>
        </w:rPr>
        <w:tab/>
      </w:r>
    </w:p>
    <w:p w:rsidR="00880269" w:rsidRPr="00880269" w:rsidRDefault="00880269" w:rsidP="00880269">
      <w:pPr>
        <w:spacing w:line="240" w:lineRule="auto"/>
        <w:jc w:val="both"/>
        <w:rPr>
          <w:rFonts w:ascii="Garamond" w:hAnsi="Garamond" w:cs="Calibri-Bold"/>
          <w:b/>
          <w:bCs/>
          <w:sz w:val="28"/>
          <w:szCs w:val="28"/>
          <w:lang w:val="es-MX"/>
        </w:rPr>
      </w:pPr>
      <w:r w:rsidRPr="00880269">
        <w:rPr>
          <w:rFonts w:ascii="Garamond" w:hAnsi="Garamond" w:cs="Calibri-Bold"/>
          <w:b/>
          <w:bCs/>
          <w:sz w:val="28"/>
          <w:szCs w:val="28"/>
          <w:lang w:val="es-MX"/>
        </w:rPr>
        <w:t xml:space="preserve">Actitudes (OAT: Eje: </w:t>
      </w:r>
      <w:r w:rsidRPr="00880269">
        <w:rPr>
          <w:rFonts w:ascii="Garamond" w:hAnsi="Garamond" w:cs="Calibri-Bold"/>
          <w:bCs/>
          <w:sz w:val="28"/>
          <w:szCs w:val="28"/>
          <w:lang w:val="es-MX"/>
        </w:rPr>
        <w:t>Comprensión lectora</w:t>
      </w:r>
      <w:r w:rsidRPr="00880269">
        <w:rPr>
          <w:rFonts w:ascii="Garamond" w:hAnsi="Garamond" w:cs="Calibri-Bold"/>
          <w:b/>
          <w:bCs/>
          <w:sz w:val="28"/>
          <w:szCs w:val="28"/>
          <w:lang w:val="es-MX"/>
        </w:rPr>
        <w:t xml:space="preserve">          Énfasis: </w:t>
      </w:r>
      <w:r w:rsidRPr="00880269">
        <w:rPr>
          <w:rFonts w:ascii="Garamond" w:hAnsi="Garamond" w:cs="Calibri-Bold"/>
          <w:bCs/>
          <w:sz w:val="28"/>
          <w:szCs w:val="28"/>
          <w:lang w:val="es-MX"/>
        </w:rPr>
        <w:t>Oralidad, comprensión y producción</w:t>
      </w:r>
    </w:p>
    <w:tbl>
      <w:tblPr>
        <w:tblStyle w:val="Tablaconcuadrcula"/>
        <w:tblW w:w="13893" w:type="dxa"/>
        <w:tblLayout w:type="fixed"/>
        <w:tblLook w:val="04A0" w:firstRow="1" w:lastRow="0" w:firstColumn="1" w:lastColumn="0" w:noHBand="0" w:noVBand="1"/>
      </w:tblPr>
      <w:tblGrid>
        <w:gridCol w:w="2235"/>
        <w:gridCol w:w="1275"/>
        <w:gridCol w:w="2268"/>
        <w:gridCol w:w="5245"/>
        <w:gridCol w:w="2870"/>
      </w:tblGrid>
      <w:tr w:rsidR="00880269" w:rsidRPr="00880269" w:rsidTr="008B39FF">
        <w:trPr>
          <w:trHeight w:val="691"/>
        </w:trPr>
        <w:tc>
          <w:tcPr>
            <w:tcW w:w="2235" w:type="dxa"/>
          </w:tcPr>
          <w:p w:rsidR="00880269" w:rsidRPr="00880269" w:rsidRDefault="00880269" w:rsidP="00880269">
            <w:pPr>
              <w:spacing w:after="200"/>
              <w:jc w:val="both"/>
              <w:rPr>
                <w:rFonts w:ascii="Garamond" w:eastAsiaTheme="minorEastAsia" w:hAnsi="Garamond" w:cs="Calibri-Bold"/>
                <w:b/>
                <w:bCs/>
                <w:sz w:val="28"/>
                <w:szCs w:val="28"/>
                <w:lang w:eastAsia="es-CL"/>
              </w:rPr>
            </w:pPr>
            <w:r w:rsidRPr="00880269">
              <w:rPr>
                <w:rFonts w:ascii="Garamond" w:eastAsiaTheme="minorEastAsia" w:hAnsi="Garamond" w:cs="Calibri-Bold"/>
                <w:b/>
                <w:bCs/>
                <w:sz w:val="28"/>
                <w:szCs w:val="28"/>
                <w:lang w:eastAsia="es-CL"/>
              </w:rPr>
              <w:t xml:space="preserve">Objetivo </w:t>
            </w:r>
          </w:p>
          <w:p w:rsidR="00880269" w:rsidRPr="00880269" w:rsidRDefault="00880269" w:rsidP="00880269">
            <w:pPr>
              <w:spacing w:after="200"/>
              <w:jc w:val="both"/>
              <w:rPr>
                <w:rFonts w:ascii="Garamond" w:eastAsiaTheme="minorEastAsia" w:hAnsi="Garamond" w:cs="Calibri-Bold"/>
                <w:b/>
                <w:bCs/>
                <w:sz w:val="28"/>
                <w:szCs w:val="28"/>
                <w:lang w:eastAsia="es-CL"/>
              </w:rPr>
            </w:pPr>
            <w:r w:rsidRPr="00880269">
              <w:rPr>
                <w:rFonts w:ascii="Garamond" w:eastAsiaTheme="minorEastAsia" w:hAnsi="Garamond" w:cs="Calibri-Bold"/>
                <w:b/>
                <w:bCs/>
                <w:sz w:val="28"/>
                <w:szCs w:val="28"/>
                <w:lang w:eastAsia="es-CL"/>
              </w:rPr>
              <w:t xml:space="preserve">(desglose del OA) </w:t>
            </w:r>
          </w:p>
        </w:tc>
        <w:tc>
          <w:tcPr>
            <w:tcW w:w="1275" w:type="dxa"/>
          </w:tcPr>
          <w:p w:rsidR="00880269" w:rsidRPr="00880269" w:rsidRDefault="00880269" w:rsidP="00880269">
            <w:pPr>
              <w:spacing w:after="200"/>
              <w:jc w:val="both"/>
              <w:rPr>
                <w:rFonts w:ascii="Garamond" w:eastAsiaTheme="minorEastAsia" w:hAnsi="Garamond" w:cs="Calibri-Bold"/>
                <w:b/>
                <w:bCs/>
                <w:sz w:val="28"/>
                <w:szCs w:val="28"/>
                <w:lang w:eastAsia="es-CL"/>
              </w:rPr>
            </w:pPr>
            <w:r w:rsidRPr="00880269">
              <w:rPr>
                <w:rFonts w:ascii="Garamond" w:eastAsiaTheme="minorEastAsia" w:hAnsi="Garamond" w:cs="Calibri-Bold"/>
                <w:b/>
                <w:bCs/>
                <w:sz w:val="28"/>
                <w:szCs w:val="28"/>
                <w:lang w:eastAsia="es-CL"/>
              </w:rPr>
              <w:t xml:space="preserve">Tiempo </w:t>
            </w:r>
          </w:p>
          <w:p w:rsidR="00880269" w:rsidRPr="00880269" w:rsidRDefault="00880269" w:rsidP="00880269">
            <w:pPr>
              <w:spacing w:after="200"/>
              <w:jc w:val="both"/>
              <w:rPr>
                <w:rFonts w:ascii="Garamond" w:eastAsiaTheme="minorEastAsia" w:hAnsi="Garamond" w:cs="Calibri-Bold"/>
                <w:b/>
                <w:bCs/>
                <w:sz w:val="28"/>
                <w:szCs w:val="28"/>
                <w:lang w:eastAsia="es-CL"/>
              </w:rPr>
            </w:pPr>
          </w:p>
          <w:p w:rsidR="00880269" w:rsidRPr="00880269" w:rsidRDefault="00880269" w:rsidP="00880269">
            <w:pPr>
              <w:spacing w:after="200"/>
              <w:jc w:val="both"/>
              <w:rPr>
                <w:rFonts w:ascii="Garamond" w:eastAsiaTheme="minorEastAsia" w:hAnsi="Garamond" w:cs="Calibri-Bold"/>
                <w:b/>
                <w:bCs/>
                <w:sz w:val="28"/>
                <w:szCs w:val="28"/>
                <w:lang w:eastAsia="es-CL"/>
              </w:rPr>
            </w:pPr>
          </w:p>
        </w:tc>
        <w:tc>
          <w:tcPr>
            <w:tcW w:w="2268" w:type="dxa"/>
          </w:tcPr>
          <w:p w:rsidR="00880269" w:rsidRPr="00880269" w:rsidRDefault="00880269" w:rsidP="00880269">
            <w:pPr>
              <w:spacing w:after="200"/>
              <w:jc w:val="both"/>
              <w:rPr>
                <w:rFonts w:ascii="Garamond" w:eastAsiaTheme="minorEastAsia" w:hAnsi="Garamond" w:cs="Calibri-Bold"/>
                <w:b/>
                <w:bCs/>
                <w:sz w:val="28"/>
                <w:szCs w:val="28"/>
                <w:lang w:eastAsia="es-CL"/>
              </w:rPr>
            </w:pPr>
            <w:r w:rsidRPr="00880269">
              <w:rPr>
                <w:rFonts w:ascii="Garamond" w:eastAsiaTheme="minorEastAsia" w:hAnsi="Garamond" w:cs="Calibri-Bold"/>
                <w:b/>
                <w:bCs/>
                <w:sz w:val="28"/>
                <w:szCs w:val="28"/>
                <w:lang w:eastAsia="es-CL"/>
              </w:rPr>
              <w:t>Habilidad</w:t>
            </w:r>
          </w:p>
        </w:tc>
        <w:tc>
          <w:tcPr>
            <w:tcW w:w="5245" w:type="dxa"/>
          </w:tcPr>
          <w:p w:rsidR="00880269" w:rsidRPr="00880269" w:rsidRDefault="00880269" w:rsidP="00880269">
            <w:pPr>
              <w:spacing w:after="200"/>
              <w:jc w:val="both"/>
              <w:rPr>
                <w:rFonts w:ascii="Garamond" w:eastAsiaTheme="minorEastAsia" w:hAnsi="Garamond" w:cs="Calibri-Bold"/>
                <w:b/>
                <w:bCs/>
                <w:sz w:val="28"/>
                <w:szCs w:val="28"/>
                <w:lang w:eastAsia="es-CL"/>
              </w:rPr>
            </w:pPr>
            <w:r w:rsidRPr="00880269">
              <w:rPr>
                <w:rFonts w:ascii="Garamond" w:eastAsiaTheme="minorEastAsia" w:hAnsi="Garamond" w:cs="Calibri-Bold"/>
                <w:b/>
                <w:bCs/>
                <w:sz w:val="28"/>
                <w:szCs w:val="28"/>
                <w:lang w:eastAsia="es-CL"/>
              </w:rPr>
              <w:t>Actividad de Aprendizaje.</w:t>
            </w:r>
          </w:p>
          <w:p w:rsidR="00880269" w:rsidRPr="00880269" w:rsidRDefault="00880269" w:rsidP="00880269">
            <w:pPr>
              <w:spacing w:after="200"/>
              <w:jc w:val="both"/>
              <w:rPr>
                <w:rFonts w:ascii="Garamond" w:eastAsiaTheme="minorEastAsia" w:hAnsi="Garamond" w:cs="Calibri-Bold"/>
                <w:b/>
                <w:bCs/>
                <w:sz w:val="28"/>
                <w:szCs w:val="28"/>
                <w:lang w:eastAsia="es-CL"/>
              </w:rPr>
            </w:pPr>
            <w:r w:rsidRPr="00880269">
              <w:rPr>
                <w:rFonts w:ascii="Garamond" w:eastAsiaTheme="minorEastAsia" w:hAnsi="Garamond" w:cs="Calibri-Bold"/>
                <w:b/>
                <w:bCs/>
                <w:sz w:val="28"/>
                <w:szCs w:val="28"/>
                <w:lang w:eastAsia="es-CL"/>
              </w:rPr>
              <w:t>(inicio, desarrollo, cierre)</w:t>
            </w:r>
          </w:p>
          <w:p w:rsidR="00880269" w:rsidRPr="00880269" w:rsidRDefault="00880269" w:rsidP="00880269">
            <w:pPr>
              <w:spacing w:after="200"/>
              <w:jc w:val="both"/>
              <w:rPr>
                <w:rFonts w:ascii="Garamond" w:eastAsiaTheme="minorEastAsia" w:hAnsi="Garamond" w:cs="Calibri-Bold"/>
                <w:b/>
                <w:bCs/>
                <w:sz w:val="28"/>
                <w:szCs w:val="28"/>
                <w:lang w:eastAsia="es-CL"/>
              </w:rPr>
            </w:pPr>
          </w:p>
        </w:tc>
        <w:tc>
          <w:tcPr>
            <w:tcW w:w="2870" w:type="dxa"/>
          </w:tcPr>
          <w:p w:rsidR="00880269" w:rsidRPr="00880269" w:rsidRDefault="00880269" w:rsidP="00880269">
            <w:pPr>
              <w:spacing w:after="200"/>
              <w:jc w:val="both"/>
              <w:rPr>
                <w:rFonts w:ascii="Garamond" w:eastAsiaTheme="minorEastAsia" w:hAnsi="Garamond" w:cs="Calibri-Bold"/>
                <w:b/>
                <w:bCs/>
                <w:sz w:val="28"/>
                <w:szCs w:val="28"/>
                <w:lang w:eastAsia="es-CL"/>
              </w:rPr>
            </w:pPr>
            <w:r w:rsidRPr="00880269">
              <w:rPr>
                <w:rFonts w:ascii="Garamond" w:eastAsiaTheme="minorEastAsia" w:hAnsi="Garamond" w:cs="Calibri-Bold"/>
                <w:b/>
                <w:bCs/>
                <w:sz w:val="28"/>
                <w:szCs w:val="28"/>
                <w:lang w:eastAsia="es-CL"/>
              </w:rPr>
              <w:t>Desempeño observable</w:t>
            </w:r>
          </w:p>
          <w:p w:rsidR="00880269" w:rsidRPr="00880269" w:rsidRDefault="00880269" w:rsidP="00880269">
            <w:pPr>
              <w:spacing w:after="200"/>
              <w:jc w:val="both"/>
              <w:rPr>
                <w:rFonts w:ascii="Garamond" w:eastAsiaTheme="minorEastAsia" w:hAnsi="Garamond" w:cs="Calibri-Bold"/>
                <w:b/>
                <w:bCs/>
                <w:sz w:val="28"/>
                <w:szCs w:val="28"/>
                <w:lang w:eastAsia="es-CL"/>
              </w:rPr>
            </w:pPr>
            <w:r w:rsidRPr="00880269">
              <w:rPr>
                <w:rFonts w:ascii="Garamond" w:eastAsiaTheme="minorEastAsia" w:hAnsi="Garamond" w:cs="Calibri-Bold"/>
                <w:b/>
                <w:bCs/>
                <w:sz w:val="28"/>
                <w:szCs w:val="28"/>
                <w:lang w:eastAsia="es-CL"/>
              </w:rPr>
              <w:t>(evaluación - tipo de instrumento)</w:t>
            </w:r>
          </w:p>
        </w:tc>
      </w:tr>
      <w:tr w:rsidR="00880269" w:rsidRPr="00880269" w:rsidTr="008B39FF">
        <w:trPr>
          <w:trHeight w:val="691"/>
        </w:trPr>
        <w:tc>
          <w:tcPr>
            <w:tcW w:w="2235" w:type="dxa"/>
          </w:tcPr>
          <w:p w:rsidR="00880269" w:rsidRPr="00880269" w:rsidRDefault="00880269" w:rsidP="00880269">
            <w:pPr>
              <w:spacing w:after="200"/>
              <w:jc w:val="both"/>
              <w:rPr>
                <w:rFonts w:ascii="Garamond" w:eastAsiaTheme="minorEastAsia" w:hAnsi="Garamond" w:cs="Calibri-Bold"/>
                <w:bCs/>
                <w:sz w:val="28"/>
                <w:szCs w:val="28"/>
                <w:lang w:eastAsia="es-CL"/>
              </w:rPr>
            </w:pPr>
            <w:r w:rsidRPr="00880269">
              <w:rPr>
                <w:rFonts w:ascii="Garamond" w:eastAsiaTheme="minorEastAsia" w:hAnsi="Garamond" w:cs="Calibri-Bold"/>
                <w:bCs/>
                <w:sz w:val="28"/>
                <w:szCs w:val="28"/>
                <w:lang w:eastAsia="es-CL"/>
              </w:rPr>
              <w:t xml:space="preserve">Comprender  diversas estrategias de comprensión lectora, aplicándolas en variados  textos literarios extrayendo información </w:t>
            </w:r>
            <w:r w:rsidRPr="00880269">
              <w:rPr>
                <w:rFonts w:ascii="Garamond" w:eastAsiaTheme="minorEastAsia" w:hAnsi="Garamond" w:cs="Calibri-Bold"/>
                <w:bCs/>
                <w:sz w:val="28"/>
                <w:szCs w:val="28"/>
                <w:lang w:eastAsia="es-CL"/>
              </w:rPr>
              <w:lastRenderedPageBreak/>
              <w:t xml:space="preserve">explícita. </w:t>
            </w:r>
          </w:p>
        </w:tc>
        <w:tc>
          <w:tcPr>
            <w:tcW w:w="1275" w:type="dxa"/>
          </w:tcPr>
          <w:p w:rsidR="00880269" w:rsidRPr="00880269" w:rsidRDefault="00880269" w:rsidP="00880269">
            <w:pPr>
              <w:spacing w:after="200"/>
              <w:jc w:val="both"/>
              <w:rPr>
                <w:rFonts w:ascii="Garamond" w:eastAsiaTheme="minorEastAsia" w:hAnsi="Garamond" w:cs="Calibri-Bold"/>
                <w:bCs/>
                <w:sz w:val="28"/>
                <w:szCs w:val="28"/>
                <w:lang w:eastAsia="es-CL"/>
              </w:rPr>
            </w:pPr>
            <w:r w:rsidRPr="00880269">
              <w:rPr>
                <w:rFonts w:ascii="Garamond" w:eastAsiaTheme="minorEastAsia" w:hAnsi="Garamond" w:cs="Calibri-Bold"/>
                <w:bCs/>
                <w:sz w:val="28"/>
                <w:szCs w:val="28"/>
                <w:lang w:eastAsia="es-CL"/>
              </w:rPr>
              <w:lastRenderedPageBreak/>
              <w:t xml:space="preserve">90 minutos </w:t>
            </w:r>
          </w:p>
        </w:tc>
        <w:tc>
          <w:tcPr>
            <w:tcW w:w="2268" w:type="dxa"/>
          </w:tcPr>
          <w:p w:rsidR="00880269" w:rsidRPr="00880269" w:rsidRDefault="00880269" w:rsidP="00880269">
            <w:pPr>
              <w:spacing w:after="200"/>
              <w:jc w:val="both"/>
              <w:rPr>
                <w:rFonts w:ascii="Garamond" w:eastAsiaTheme="minorEastAsia" w:hAnsi="Garamond" w:cs="Calibri-Bold"/>
                <w:bCs/>
                <w:sz w:val="28"/>
                <w:szCs w:val="28"/>
                <w:lang w:val="es-CL" w:eastAsia="es-CL"/>
              </w:rPr>
            </w:pPr>
            <w:r w:rsidRPr="00880269">
              <w:rPr>
                <w:rFonts w:ascii="Garamond" w:eastAsiaTheme="minorEastAsia" w:hAnsi="Garamond" w:cs="Calibri-Bold"/>
                <w:bCs/>
                <w:sz w:val="28"/>
                <w:szCs w:val="28"/>
                <w:lang w:val="es-CL" w:eastAsia="es-CL"/>
              </w:rPr>
              <w:t>Estrategias de comprensión lectora reflexionando sobre las dificultades que surgen al leer, formando lectores activos y competentes</w:t>
            </w:r>
          </w:p>
        </w:tc>
        <w:tc>
          <w:tcPr>
            <w:tcW w:w="5245" w:type="dxa"/>
          </w:tcPr>
          <w:p w:rsidR="00880269" w:rsidRPr="00880269" w:rsidRDefault="00880269" w:rsidP="00880269">
            <w:pPr>
              <w:spacing w:after="200"/>
              <w:jc w:val="both"/>
              <w:rPr>
                <w:rFonts w:ascii="Garamond" w:eastAsiaTheme="minorEastAsia" w:hAnsi="Garamond" w:cs="Calibri-Bold"/>
                <w:bCs/>
                <w:sz w:val="28"/>
                <w:szCs w:val="28"/>
                <w:lang w:eastAsia="es-CL"/>
              </w:rPr>
            </w:pPr>
            <w:r w:rsidRPr="00880269">
              <w:rPr>
                <w:rFonts w:ascii="Garamond" w:eastAsiaTheme="minorEastAsia" w:hAnsi="Garamond" w:cs="Calibri-Bold"/>
                <w:bCs/>
                <w:sz w:val="28"/>
                <w:szCs w:val="28"/>
                <w:lang w:eastAsia="es-CL"/>
              </w:rPr>
              <w:t xml:space="preserve"> Inicio: Se inicia el taller recordando el objetivo de la sesión anterior recapitulando las estrategias aprendidas, se insta a los alumnos que saquen su portafolio de trabajo y observen  la  guía desarrollada anteriormente. Una vez activados los conocimientos previos.</w:t>
            </w:r>
          </w:p>
          <w:p w:rsidR="00880269" w:rsidRPr="00880269" w:rsidRDefault="00880269" w:rsidP="00880269">
            <w:pPr>
              <w:spacing w:after="200"/>
              <w:jc w:val="both"/>
              <w:rPr>
                <w:rFonts w:ascii="Garamond" w:eastAsiaTheme="minorEastAsia" w:hAnsi="Garamond" w:cs="Calibri-Bold"/>
                <w:bCs/>
                <w:sz w:val="28"/>
                <w:szCs w:val="28"/>
                <w:lang w:eastAsia="es-CL"/>
              </w:rPr>
            </w:pPr>
            <w:r w:rsidRPr="00880269">
              <w:rPr>
                <w:rFonts w:ascii="Garamond" w:eastAsiaTheme="minorEastAsia" w:hAnsi="Garamond" w:cs="Calibri-Bold"/>
                <w:bCs/>
                <w:sz w:val="28"/>
                <w:szCs w:val="28"/>
                <w:lang w:eastAsia="es-CL"/>
              </w:rPr>
              <w:t>Se comenta a los estudiantes que se trabajará con dos textos narrativos</w:t>
            </w:r>
            <w:r w:rsidRPr="00880269">
              <w:rPr>
                <w:rFonts w:ascii="Garamond" w:eastAsiaTheme="minorEastAsia" w:hAnsi="Garamond" w:cs="Calibri-Bold"/>
                <w:bCs/>
                <w:sz w:val="28"/>
                <w:szCs w:val="28"/>
                <w:lang w:val="es-CL" w:eastAsia="es-CL"/>
              </w:rPr>
              <w:t xml:space="preserve">, Estos están organizados en secuencias de hechos y se pueden clasificar según el mensaje que quieran </w:t>
            </w:r>
            <w:r w:rsidRPr="00880269">
              <w:rPr>
                <w:rFonts w:ascii="Garamond" w:eastAsiaTheme="minorEastAsia" w:hAnsi="Garamond" w:cs="Calibri-Bold"/>
                <w:bCs/>
                <w:sz w:val="28"/>
                <w:szCs w:val="28"/>
                <w:lang w:val="es-CL" w:eastAsia="es-CL"/>
              </w:rPr>
              <w:lastRenderedPageBreak/>
              <w:t>trasmitir. El tipo de texto que se trabajará será la leyenda</w:t>
            </w:r>
          </w:p>
          <w:p w:rsidR="00880269" w:rsidRPr="00880269" w:rsidRDefault="00880269" w:rsidP="00880269">
            <w:pPr>
              <w:spacing w:after="200"/>
              <w:jc w:val="both"/>
              <w:rPr>
                <w:rFonts w:ascii="Garamond" w:eastAsiaTheme="minorEastAsia" w:hAnsi="Garamond" w:cs="Calibri-Bold"/>
                <w:bCs/>
                <w:sz w:val="28"/>
                <w:szCs w:val="28"/>
                <w:lang w:val="es-CL" w:eastAsia="es-CL"/>
              </w:rPr>
            </w:pPr>
            <w:r w:rsidRPr="00880269">
              <w:rPr>
                <w:rFonts w:ascii="Garamond" w:eastAsiaTheme="minorEastAsia" w:hAnsi="Garamond" w:cs="Calibri-Bold"/>
                <w:bCs/>
                <w:sz w:val="28"/>
                <w:szCs w:val="28"/>
                <w:lang w:val="es-CL" w:eastAsia="es-CL"/>
              </w:rPr>
              <w:t>Desarrollo: Para profundizar el contenido visto los estudiantes leen el ejemplo esquematizado de “La Mulata de Córdoba” se observa  reforzando la idea de que todas las obras narrativas se organizan secuencialmente y poseen una estructura.</w:t>
            </w:r>
          </w:p>
          <w:p w:rsidR="00880269" w:rsidRPr="00880269" w:rsidRDefault="00880269" w:rsidP="00880269">
            <w:pPr>
              <w:spacing w:after="200"/>
              <w:jc w:val="both"/>
              <w:rPr>
                <w:rFonts w:ascii="Garamond" w:eastAsiaTheme="minorEastAsia" w:hAnsi="Garamond" w:cs="Calibri-Bold"/>
                <w:bCs/>
                <w:sz w:val="28"/>
                <w:szCs w:val="28"/>
                <w:lang w:val="es-CL" w:eastAsia="es-CL"/>
              </w:rPr>
            </w:pPr>
            <w:r w:rsidRPr="00880269">
              <w:rPr>
                <w:rFonts w:ascii="Garamond" w:eastAsiaTheme="minorEastAsia" w:hAnsi="Garamond" w:cs="Calibri-Bold"/>
                <w:bCs/>
                <w:sz w:val="28"/>
                <w:szCs w:val="28"/>
                <w:lang w:val="es-CL" w:eastAsia="es-CL"/>
              </w:rPr>
              <w:t>Actividad: Se comienza la  lectura modelo de “El guajojó”. Luego se les pregunta  ¿qué les pareció la leyenda y si la conocían? Estimulando el interés de releerla. A continuación leen individualmente, subrayando la información más relevante y  luego, realizan todas las actividades de comprensión que aparece en la lectura.</w:t>
            </w:r>
          </w:p>
          <w:p w:rsidR="00880269" w:rsidRPr="00880269" w:rsidRDefault="00880269" w:rsidP="00880269">
            <w:pPr>
              <w:spacing w:after="200"/>
              <w:jc w:val="both"/>
              <w:rPr>
                <w:rFonts w:ascii="Garamond" w:eastAsiaTheme="minorEastAsia" w:hAnsi="Garamond" w:cs="Calibri-Bold"/>
                <w:bCs/>
                <w:sz w:val="28"/>
                <w:szCs w:val="28"/>
                <w:lang w:eastAsia="es-CL"/>
              </w:rPr>
            </w:pPr>
            <w:r w:rsidRPr="00880269">
              <w:rPr>
                <w:rFonts w:ascii="Garamond" w:eastAsiaTheme="minorEastAsia" w:hAnsi="Garamond" w:cs="Calibri-Bold"/>
                <w:bCs/>
                <w:sz w:val="28"/>
                <w:szCs w:val="28"/>
                <w:lang w:val="es-CL" w:eastAsia="es-CL"/>
              </w:rPr>
              <w:t>Cierre: Para concluir, se menciona la importancia que tienen las leyendas en el aprendizaje de comprensión lectora, se realizan preguntas para asegurar el enseñanza de todos los alumnos que participan en el taller.</w:t>
            </w:r>
          </w:p>
        </w:tc>
        <w:tc>
          <w:tcPr>
            <w:tcW w:w="2870" w:type="dxa"/>
          </w:tcPr>
          <w:p w:rsidR="00880269" w:rsidRPr="00880269" w:rsidRDefault="00880269" w:rsidP="00880269">
            <w:pPr>
              <w:spacing w:after="200"/>
              <w:jc w:val="both"/>
              <w:rPr>
                <w:rFonts w:ascii="Garamond" w:eastAsiaTheme="minorEastAsia" w:hAnsi="Garamond" w:cs="Calibri-Bold"/>
                <w:bCs/>
                <w:sz w:val="28"/>
                <w:szCs w:val="28"/>
                <w:lang w:eastAsia="es-CL"/>
              </w:rPr>
            </w:pPr>
            <w:r w:rsidRPr="00880269">
              <w:rPr>
                <w:rFonts w:ascii="Garamond" w:eastAsiaTheme="minorEastAsia" w:hAnsi="Garamond" w:cs="Calibri-Bold"/>
                <w:bCs/>
                <w:sz w:val="28"/>
                <w:szCs w:val="28"/>
                <w:lang w:eastAsia="es-CL"/>
              </w:rPr>
              <w:lastRenderedPageBreak/>
              <w:t>Desempeño observable: Reconocen estrategias para identificar ideas principales en textos extrayendo  información explícita.</w:t>
            </w:r>
          </w:p>
          <w:p w:rsidR="00880269" w:rsidRPr="00880269" w:rsidRDefault="00880269" w:rsidP="00880269">
            <w:pPr>
              <w:spacing w:after="200"/>
              <w:jc w:val="both"/>
              <w:rPr>
                <w:rFonts w:ascii="Garamond" w:eastAsiaTheme="minorEastAsia" w:hAnsi="Garamond" w:cs="Calibri-Bold"/>
                <w:bCs/>
                <w:sz w:val="28"/>
                <w:szCs w:val="28"/>
                <w:lang w:eastAsia="es-CL"/>
              </w:rPr>
            </w:pPr>
            <w:r w:rsidRPr="00880269">
              <w:rPr>
                <w:rFonts w:ascii="Garamond" w:eastAsiaTheme="minorEastAsia" w:hAnsi="Garamond" w:cs="Calibri-Bold"/>
                <w:bCs/>
                <w:sz w:val="28"/>
                <w:szCs w:val="28"/>
                <w:lang w:eastAsia="es-CL"/>
              </w:rPr>
              <w:t>Evaluación formativa:</w:t>
            </w:r>
          </w:p>
          <w:p w:rsidR="00880269" w:rsidRPr="00880269" w:rsidRDefault="00880269" w:rsidP="00880269">
            <w:pPr>
              <w:spacing w:after="200"/>
              <w:jc w:val="both"/>
              <w:rPr>
                <w:rFonts w:ascii="Garamond" w:eastAsiaTheme="minorEastAsia" w:hAnsi="Garamond" w:cs="Calibri-Bold"/>
                <w:bCs/>
                <w:sz w:val="28"/>
                <w:szCs w:val="28"/>
                <w:lang w:eastAsia="es-CL"/>
              </w:rPr>
            </w:pPr>
            <w:r w:rsidRPr="00880269">
              <w:rPr>
                <w:rFonts w:ascii="Garamond" w:eastAsiaTheme="minorEastAsia" w:hAnsi="Garamond" w:cs="Calibri-Bold"/>
                <w:bCs/>
                <w:sz w:val="28"/>
                <w:szCs w:val="28"/>
                <w:lang w:eastAsia="es-CL"/>
              </w:rPr>
              <w:t xml:space="preserve"> -Guía  de trabajo </w:t>
            </w:r>
          </w:p>
          <w:p w:rsidR="00880269" w:rsidRPr="00880269" w:rsidRDefault="00880269" w:rsidP="00880269">
            <w:pPr>
              <w:spacing w:after="200"/>
              <w:jc w:val="both"/>
              <w:rPr>
                <w:rFonts w:ascii="Garamond" w:eastAsiaTheme="minorEastAsia" w:hAnsi="Garamond" w:cs="Calibri-Bold"/>
                <w:bCs/>
                <w:sz w:val="28"/>
                <w:szCs w:val="28"/>
                <w:lang w:eastAsia="es-CL"/>
              </w:rPr>
            </w:pPr>
          </w:p>
          <w:p w:rsidR="00880269" w:rsidRPr="00880269" w:rsidRDefault="00880269" w:rsidP="00880269">
            <w:pPr>
              <w:spacing w:after="200"/>
              <w:jc w:val="both"/>
              <w:rPr>
                <w:rFonts w:ascii="Garamond" w:eastAsiaTheme="minorEastAsia" w:hAnsi="Garamond" w:cs="Calibri-Bold"/>
                <w:bCs/>
                <w:sz w:val="28"/>
                <w:szCs w:val="28"/>
                <w:lang w:eastAsia="es-CL"/>
              </w:rPr>
            </w:pPr>
            <w:r w:rsidRPr="00880269">
              <w:rPr>
                <w:rFonts w:ascii="Garamond" w:eastAsiaTheme="minorEastAsia" w:hAnsi="Garamond" w:cs="Calibri-Bold"/>
                <w:bCs/>
                <w:sz w:val="28"/>
                <w:szCs w:val="28"/>
                <w:lang w:eastAsia="es-CL"/>
              </w:rPr>
              <w:t>Tipo de Instrumento:</w:t>
            </w:r>
          </w:p>
          <w:p w:rsidR="00880269" w:rsidRPr="00880269" w:rsidRDefault="00880269" w:rsidP="00880269">
            <w:pPr>
              <w:spacing w:after="200"/>
              <w:jc w:val="both"/>
              <w:rPr>
                <w:rFonts w:ascii="Garamond" w:eastAsiaTheme="minorEastAsia" w:hAnsi="Garamond" w:cs="Calibri-Bold"/>
                <w:b/>
                <w:bCs/>
                <w:sz w:val="28"/>
                <w:szCs w:val="28"/>
                <w:lang w:eastAsia="es-CL"/>
              </w:rPr>
            </w:pPr>
            <w:r w:rsidRPr="00880269">
              <w:rPr>
                <w:rFonts w:ascii="Garamond" w:eastAsiaTheme="minorEastAsia" w:hAnsi="Garamond" w:cs="Calibri-Bold"/>
                <w:bCs/>
                <w:sz w:val="28"/>
                <w:szCs w:val="28"/>
                <w:lang w:eastAsia="es-CL"/>
              </w:rPr>
              <w:t>Escala de observación</w:t>
            </w:r>
          </w:p>
        </w:tc>
      </w:tr>
    </w:tbl>
    <w:p w:rsidR="00F67F72" w:rsidRDefault="00F67F72" w:rsidP="00F67F72">
      <w:pPr>
        <w:spacing w:line="240" w:lineRule="auto"/>
        <w:jc w:val="both"/>
      </w:pPr>
      <w:r>
        <w:rPr>
          <w:rFonts w:ascii="Calibri-Bold" w:hAnsi="Calibri-Bold" w:cs="Calibri-Bold"/>
          <w:b/>
          <w:bCs/>
        </w:rPr>
        <w:lastRenderedPageBreak/>
        <w:t xml:space="preserve">                              </w:t>
      </w:r>
    </w:p>
    <w:p w:rsidR="0085017F" w:rsidRDefault="0085017F"/>
    <w:p w:rsidR="00257FAE" w:rsidRDefault="00257FAE"/>
    <w:p w:rsidR="00257FAE" w:rsidRDefault="00257FAE"/>
    <w:p w:rsidR="004A3AF6" w:rsidRPr="004A3AF6" w:rsidRDefault="004A3AF6" w:rsidP="001639EA">
      <w:pPr>
        <w:spacing w:after="0"/>
        <w:jc w:val="center"/>
      </w:pPr>
    </w:p>
    <w:sectPr w:rsidR="004A3AF6" w:rsidRPr="004A3AF6" w:rsidSect="001639EA">
      <w:headerReference w:type="default" r:id="rId8"/>
      <w:pgSz w:w="15840" w:h="12240" w:orient="landscape" w:code="1"/>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DF" w:rsidRDefault="00834EDF" w:rsidP="00854B93">
      <w:pPr>
        <w:spacing w:after="0" w:line="240" w:lineRule="auto"/>
      </w:pPr>
      <w:r>
        <w:separator/>
      </w:r>
    </w:p>
  </w:endnote>
  <w:endnote w:type="continuationSeparator" w:id="0">
    <w:p w:rsidR="00834EDF" w:rsidRDefault="00834EDF" w:rsidP="0085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DF" w:rsidRDefault="00834EDF" w:rsidP="00854B93">
      <w:pPr>
        <w:spacing w:after="0" w:line="240" w:lineRule="auto"/>
      </w:pPr>
      <w:r>
        <w:separator/>
      </w:r>
    </w:p>
  </w:footnote>
  <w:footnote w:type="continuationSeparator" w:id="0">
    <w:p w:rsidR="00834EDF" w:rsidRDefault="00834EDF" w:rsidP="00854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C51" w:rsidRDefault="00C46C51">
    <w:pPr>
      <w:pStyle w:val="Encabezado"/>
    </w:pPr>
    <w:r>
      <w:t xml:space="preserve">Colegio Nuestra Señora de Pompeya                                                                                                                              </w:t>
    </w:r>
    <w:r w:rsidR="001639EA">
      <w:rPr>
        <w:rFonts w:ascii="Garamond" w:hAnsi="Garamond" w:cs="Calibri-Bold"/>
        <w:bCs/>
        <w:noProof/>
      </w:rPr>
      <w:t xml:space="preserve">                                          </w:t>
    </w:r>
    <w:r w:rsidRPr="00C46C51">
      <w:rPr>
        <w:rFonts w:ascii="Garamond" w:hAnsi="Garamond" w:cs="Calibri-Bold"/>
        <w:bCs/>
        <w:noProof/>
      </w:rPr>
      <w:drawing>
        <wp:inline distT="0" distB="0" distL="0" distR="0" wp14:anchorId="169E6CE6" wp14:editId="56C47591">
          <wp:extent cx="592789" cy="57912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NIA_CNSP.jpg"/>
                  <pic:cNvPicPr/>
                </pic:nvPicPr>
                <pic:blipFill>
                  <a:blip r:embed="rId1">
                    <a:extLst>
                      <a:ext uri="{28A0092B-C50C-407E-A947-70E740481C1C}">
                        <a14:useLocalDpi xmlns:a14="http://schemas.microsoft.com/office/drawing/2010/main" val="0"/>
                      </a:ext>
                    </a:extLst>
                  </a:blip>
                  <a:stretch>
                    <a:fillRect/>
                  </a:stretch>
                </pic:blipFill>
                <pic:spPr>
                  <a:xfrm>
                    <a:off x="0" y="0"/>
                    <a:ext cx="590832" cy="577208"/>
                  </a:xfrm>
                  <a:prstGeom prst="rect">
                    <a:avLst/>
                  </a:prstGeom>
                </pic:spPr>
              </pic:pic>
            </a:graphicData>
          </a:graphic>
        </wp:inline>
      </w:drawing>
    </w:r>
    <w:r>
      <w:rPr>
        <w:noProof/>
      </w:rPr>
      <w:drawing>
        <wp:inline distT="0" distB="0" distL="0" distR="0" wp14:anchorId="49DF167D" wp14:editId="0E6E98F2">
          <wp:extent cx="6113780" cy="5972810"/>
          <wp:effectExtent l="0" t="0" r="1270" b="889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NIA_CNSP.jpg"/>
                  <pic:cNvPicPr/>
                </pic:nvPicPr>
                <pic:blipFill>
                  <a:blip r:embed="rId1">
                    <a:extLst>
                      <a:ext uri="{28A0092B-C50C-407E-A947-70E740481C1C}">
                        <a14:useLocalDpi xmlns:a14="http://schemas.microsoft.com/office/drawing/2010/main" val="0"/>
                      </a:ext>
                    </a:extLst>
                  </a:blip>
                  <a:stretch>
                    <a:fillRect/>
                  </a:stretch>
                </pic:blipFill>
                <pic:spPr>
                  <a:xfrm>
                    <a:off x="0" y="0"/>
                    <a:ext cx="6113780" cy="5972810"/>
                  </a:xfrm>
                  <a:prstGeom prst="rect">
                    <a:avLst/>
                  </a:prstGeom>
                </pic:spPr>
              </pic:pic>
            </a:graphicData>
          </a:graphic>
        </wp:inline>
      </w:drawing>
    </w:r>
  </w:p>
  <w:p w:rsidR="00C46C51" w:rsidRDefault="00C46C51">
    <w:pPr>
      <w:pStyle w:val="Encabezado"/>
    </w:pPr>
  </w:p>
  <w:p w:rsidR="00C46C51" w:rsidRDefault="00C46C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4EE25"/>
    <w:multiLevelType w:val="hybridMultilevel"/>
    <w:tmpl w:val="CFA9E1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B33A4E7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11C62D72"/>
    <w:multiLevelType w:val="hybridMultilevel"/>
    <w:tmpl w:val="DC2D33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DAFC37A"/>
    <w:multiLevelType w:val="hybridMultilevel"/>
    <w:tmpl w:val="19A56C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8279E2"/>
    <w:multiLevelType w:val="hybridMultilevel"/>
    <w:tmpl w:val="105023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89761AB"/>
    <w:multiLevelType w:val="hybridMultilevel"/>
    <w:tmpl w:val="72CEA6C0"/>
    <w:lvl w:ilvl="0" w:tplc="42562D2C">
      <w:start w:val="9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F9529FB"/>
    <w:multiLevelType w:val="hybridMultilevel"/>
    <w:tmpl w:val="618A4256"/>
    <w:lvl w:ilvl="0" w:tplc="66DA4AC0">
      <w:start w:val="1"/>
      <w:numFmt w:val="decimal"/>
      <w:lvlText w:val="%1."/>
      <w:lvlJc w:val="left"/>
      <w:pPr>
        <w:ind w:left="720" w:hanging="360"/>
      </w:pPr>
      <w:rPr>
        <w:rFonts w:asciiTheme="minorHAnsi" w:eastAsiaTheme="minorHAnsi" w:hAnsiTheme="minorHAnsi" w:cs="Calibri-Bold"/>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118137D"/>
    <w:multiLevelType w:val="hybridMultilevel"/>
    <w:tmpl w:val="8F5E8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A2E468D"/>
    <w:multiLevelType w:val="hybridMultilevel"/>
    <w:tmpl w:val="BA8ACC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C777150"/>
    <w:multiLevelType w:val="hybridMultilevel"/>
    <w:tmpl w:val="9D78FE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4C27D43"/>
    <w:multiLevelType w:val="hybridMultilevel"/>
    <w:tmpl w:val="B16034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9BA3398"/>
    <w:multiLevelType w:val="hybridMultilevel"/>
    <w:tmpl w:val="04069DF4"/>
    <w:lvl w:ilvl="0" w:tplc="131C7DBA">
      <w:start w:val="1"/>
      <w:numFmt w:val="decimal"/>
      <w:lvlText w:val="%1."/>
      <w:lvlJc w:val="left"/>
      <w:pPr>
        <w:ind w:left="720" w:hanging="360"/>
      </w:pPr>
      <w:rPr>
        <w:rFonts w:asciiTheme="minorHAnsi" w:eastAsiaTheme="minorHAnsi" w:hAnsiTheme="minorHAnsi" w:cs="Calibri-Bold"/>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C1F7AE7"/>
    <w:multiLevelType w:val="hybridMultilevel"/>
    <w:tmpl w:val="800838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12"/>
  </w:num>
  <w:num w:numId="3">
    <w:abstractNumId w:val="6"/>
  </w:num>
  <w:num w:numId="4">
    <w:abstractNumId w:val="5"/>
  </w:num>
  <w:num w:numId="5">
    <w:abstractNumId w:val="11"/>
  </w:num>
  <w:num w:numId="6">
    <w:abstractNumId w:val="7"/>
  </w:num>
  <w:num w:numId="7">
    <w:abstractNumId w:val="3"/>
  </w:num>
  <w:num w:numId="8">
    <w:abstractNumId w:val="0"/>
  </w:num>
  <w:num w:numId="9">
    <w:abstractNumId w:val="4"/>
  </w:num>
  <w:num w:numId="10">
    <w:abstractNumId w:val="2"/>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72"/>
    <w:rsid w:val="00041240"/>
    <w:rsid w:val="000776F1"/>
    <w:rsid w:val="00095B41"/>
    <w:rsid w:val="000A4D79"/>
    <w:rsid w:val="000F1499"/>
    <w:rsid w:val="0010118F"/>
    <w:rsid w:val="0012596D"/>
    <w:rsid w:val="001639EA"/>
    <w:rsid w:val="00197581"/>
    <w:rsid w:val="001A0BE2"/>
    <w:rsid w:val="001B681D"/>
    <w:rsid w:val="00225973"/>
    <w:rsid w:val="00250DBE"/>
    <w:rsid w:val="00257FAE"/>
    <w:rsid w:val="002B4704"/>
    <w:rsid w:val="002C1F21"/>
    <w:rsid w:val="003358A1"/>
    <w:rsid w:val="00352497"/>
    <w:rsid w:val="00352DFA"/>
    <w:rsid w:val="003C4564"/>
    <w:rsid w:val="003D5FAA"/>
    <w:rsid w:val="004004F9"/>
    <w:rsid w:val="00405E5A"/>
    <w:rsid w:val="00414DB4"/>
    <w:rsid w:val="00416C9C"/>
    <w:rsid w:val="0042011F"/>
    <w:rsid w:val="004347BC"/>
    <w:rsid w:val="00453AAB"/>
    <w:rsid w:val="0047213D"/>
    <w:rsid w:val="00475427"/>
    <w:rsid w:val="004A3AF6"/>
    <w:rsid w:val="004D4F88"/>
    <w:rsid w:val="0054288F"/>
    <w:rsid w:val="00543E95"/>
    <w:rsid w:val="005C521B"/>
    <w:rsid w:val="005E46E2"/>
    <w:rsid w:val="005F534F"/>
    <w:rsid w:val="00604E87"/>
    <w:rsid w:val="006270F5"/>
    <w:rsid w:val="00640C1B"/>
    <w:rsid w:val="006B09FC"/>
    <w:rsid w:val="006B7EB0"/>
    <w:rsid w:val="006D3AFC"/>
    <w:rsid w:val="007320E8"/>
    <w:rsid w:val="00763C50"/>
    <w:rsid w:val="00777187"/>
    <w:rsid w:val="00797106"/>
    <w:rsid w:val="007F3EB1"/>
    <w:rsid w:val="007F57A0"/>
    <w:rsid w:val="00834EDF"/>
    <w:rsid w:val="0085017F"/>
    <w:rsid w:val="00854B93"/>
    <w:rsid w:val="00880269"/>
    <w:rsid w:val="008C7DF2"/>
    <w:rsid w:val="008F0089"/>
    <w:rsid w:val="008F7B71"/>
    <w:rsid w:val="00966BCA"/>
    <w:rsid w:val="009A5402"/>
    <w:rsid w:val="009C1E2E"/>
    <w:rsid w:val="00A44005"/>
    <w:rsid w:val="00A50CAA"/>
    <w:rsid w:val="00AA35F2"/>
    <w:rsid w:val="00AB4D8E"/>
    <w:rsid w:val="00B04FDF"/>
    <w:rsid w:val="00B23426"/>
    <w:rsid w:val="00B279C8"/>
    <w:rsid w:val="00B46CAD"/>
    <w:rsid w:val="00B50736"/>
    <w:rsid w:val="00B647A3"/>
    <w:rsid w:val="00B96DB1"/>
    <w:rsid w:val="00BB1BAA"/>
    <w:rsid w:val="00BB73E0"/>
    <w:rsid w:val="00C36705"/>
    <w:rsid w:val="00C44E98"/>
    <w:rsid w:val="00C46C51"/>
    <w:rsid w:val="00CB3475"/>
    <w:rsid w:val="00CD4072"/>
    <w:rsid w:val="00CD55FB"/>
    <w:rsid w:val="00CD5B9D"/>
    <w:rsid w:val="00D007CC"/>
    <w:rsid w:val="00E00C5F"/>
    <w:rsid w:val="00E2499C"/>
    <w:rsid w:val="00E36DC4"/>
    <w:rsid w:val="00F25F27"/>
    <w:rsid w:val="00F603A4"/>
    <w:rsid w:val="00F67F72"/>
    <w:rsid w:val="00F92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9"/>
    <w:unhideWhenUsed/>
    <w:rsid w:val="00F67F72"/>
    <w:pPr>
      <w:numPr>
        <w:numId w:val="1"/>
      </w:numPr>
      <w:contextualSpacing/>
    </w:pPr>
    <w:rPr>
      <w:rFonts w:eastAsiaTheme="minorHAnsi"/>
      <w:lang w:val="es-MX" w:eastAsia="en-US"/>
    </w:rPr>
  </w:style>
  <w:style w:type="table" w:styleId="Tablaconcuadrcula">
    <w:name w:val="Table Grid"/>
    <w:basedOn w:val="Tablanormal"/>
    <w:uiPriority w:val="59"/>
    <w:rsid w:val="00F67F72"/>
    <w:pPr>
      <w:spacing w:after="0" w:line="240" w:lineRule="auto"/>
    </w:pPr>
    <w:rPr>
      <w:rFonts w:eastAsiaTheme="minorHAns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67F72"/>
    <w:pPr>
      <w:ind w:left="720"/>
      <w:contextualSpacing/>
    </w:pPr>
    <w:rPr>
      <w:rFonts w:eastAsiaTheme="minorHAnsi"/>
      <w:lang w:val="es-MX" w:eastAsia="en-US"/>
    </w:rPr>
  </w:style>
  <w:style w:type="paragraph" w:customStyle="1" w:styleId="Default">
    <w:name w:val="Default"/>
    <w:rsid w:val="00250DBE"/>
    <w:pPr>
      <w:autoSpaceDE w:val="0"/>
      <w:autoSpaceDN w:val="0"/>
      <w:adjustRightInd w:val="0"/>
      <w:spacing w:after="0" w:line="240" w:lineRule="auto"/>
    </w:pPr>
    <w:rPr>
      <w:rFonts w:ascii="Verdana" w:hAnsi="Verdana" w:cs="Verdana"/>
      <w:color w:val="000000"/>
      <w:sz w:val="24"/>
      <w:szCs w:val="24"/>
    </w:rPr>
  </w:style>
  <w:style w:type="paragraph" w:styleId="Encabezado">
    <w:name w:val="header"/>
    <w:basedOn w:val="Normal"/>
    <w:link w:val="EncabezadoCar"/>
    <w:uiPriority w:val="99"/>
    <w:unhideWhenUsed/>
    <w:rsid w:val="00854B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B93"/>
  </w:style>
  <w:style w:type="paragraph" w:styleId="Piedepgina">
    <w:name w:val="footer"/>
    <w:basedOn w:val="Normal"/>
    <w:link w:val="PiedepginaCar"/>
    <w:uiPriority w:val="99"/>
    <w:unhideWhenUsed/>
    <w:rsid w:val="00854B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B93"/>
  </w:style>
  <w:style w:type="paragraph" w:styleId="Textodeglobo">
    <w:name w:val="Balloon Text"/>
    <w:basedOn w:val="Normal"/>
    <w:link w:val="TextodegloboCar"/>
    <w:uiPriority w:val="99"/>
    <w:semiHidden/>
    <w:unhideWhenUsed/>
    <w:rsid w:val="004A3A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AF6"/>
    <w:rPr>
      <w:rFonts w:ascii="Tahoma" w:hAnsi="Tahoma" w:cs="Tahoma"/>
      <w:sz w:val="16"/>
      <w:szCs w:val="16"/>
    </w:rPr>
  </w:style>
  <w:style w:type="character" w:styleId="Hipervnculo">
    <w:name w:val="Hyperlink"/>
    <w:basedOn w:val="Fuentedeprrafopredeter"/>
    <w:uiPriority w:val="99"/>
    <w:unhideWhenUsed/>
    <w:rsid w:val="00F25F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9"/>
    <w:unhideWhenUsed/>
    <w:rsid w:val="00F67F72"/>
    <w:pPr>
      <w:numPr>
        <w:numId w:val="1"/>
      </w:numPr>
      <w:contextualSpacing/>
    </w:pPr>
    <w:rPr>
      <w:rFonts w:eastAsiaTheme="minorHAnsi"/>
      <w:lang w:val="es-MX" w:eastAsia="en-US"/>
    </w:rPr>
  </w:style>
  <w:style w:type="table" w:styleId="Tablaconcuadrcula">
    <w:name w:val="Table Grid"/>
    <w:basedOn w:val="Tablanormal"/>
    <w:uiPriority w:val="59"/>
    <w:rsid w:val="00F67F72"/>
    <w:pPr>
      <w:spacing w:after="0" w:line="240" w:lineRule="auto"/>
    </w:pPr>
    <w:rPr>
      <w:rFonts w:eastAsiaTheme="minorHAns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67F72"/>
    <w:pPr>
      <w:ind w:left="720"/>
      <w:contextualSpacing/>
    </w:pPr>
    <w:rPr>
      <w:rFonts w:eastAsiaTheme="minorHAnsi"/>
      <w:lang w:val="es-MX" w:eastAsia="en-US"/>
    </w:rPr>
  </w:style>
  <w:style w:type="paragraph" w:customStyle="1" w:styleId="Default">
    <w:name w:val="Default"/>
    <w:rsid w:val="00250DBE"/>
    <w:pPr>
      <w:autoSpaceDE w:val="0"/>
      <w:autoSpaceDN w:val="0"/>
      <w:adjustRightInd w:val="0"/>
      <w:spacing w:after="0" w:line="240" w:lineRule="auto"/>
    </w:pPr>
    <w:rPr>
      <w:rFonts w:ascii="Verdana" w:hAnsi="Verdana" w:cs="Verdana"/>
      <w:color w:val="000000"/>
      <w:sz w:val="24"/>
      <w:szCs w:val="24"/>
    </w:rPr>
  </w:style>
  <w:style w:type="paragraph" w:styleId="Encabezado">
    <w:name w:val="header"/>
    <w:basedOn w:val="Normal"/>
    <w:link w:val="EncabezadoCar"/>
    <w:uiPriority w:val="99"/>
    <w:unhideWhenUsed/>
    <w:rsid w:val="00854B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B93"/>
  </w:style>
  <w:style w:type="paragraph" w:styleId="Piedepgina">
    <w:name w:val="footer"/>
    <w:basedOn w:val="Normal"/>
    <w:link w:val="PiedepginaCar"/>
    <w:uiPriority w:val="99"/>
    <w:unhideWhenUsed/>
    <w:rsid w:val="00854B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B93"/>
  </w:style>
  <w:style w:type="paragraph" w:styleId="Textodeglobo">
    <w:name w:val="Balloon Text"/>
    <w:basedOn w:val="Normal"/>
    <w:link w:val="TextodegloboCar"/>
    <w:uiPriority w:val="99"/>
    <w:semiHidden/>
    <w:unhideWhenUsed/>
    <w:rsid w:val="004A3A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AF6"/>
    <w:rPr>
      <w:rFonts w:ascii="Tahoma" w:hAnsi="Tahoma" w:cs="Tahoma"/>
      <w:sz w:val="16"/>
      <w:szCs w:val="16"/>
    </w:rPr>
  </w:style>
  <w:style w:type="character" w:styleId="Hipervnculo">
    <w:name w:val="Hyperlink"/>
    <w:basedOn w:val="Fuentedeprrafopredeter"/>
    <w:uiPriority w:val="99"/>
    <w:unhideWhenUsed/>
    <w:rsid w:val="00F25F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2452">
      <w:bodyDiv w:val="1"/>
      <w:marLeft w:val="0"/>
      <w:marRight w:val="0"/>
      <w:marTop w:val="0"/>
      <w:marBottom w:val="0"/>
      <w:divBdr>
        <w:top w:val="none" w:sz="0" w:space="0" w:color="auto"/>
        <w:left w:val="none" w:sz="0" w:space="0" w:color="auto"/>
        <w:bottom w:val="none" w:sz="0" w:space="0" w:color="auto"/>
        <w:right w:val="none" w:sz="0" w:space="0" w:color="auto"/>
      </w:divBdr>
    </w:div>
    <w:div w:id="189731542">
      <w:bodyDiv w:val="1"/>
      <w:marLeft w:val="0"/>
      <w:marRight w:val="0"/>
      <w:marTop w:val="0"/>
      <w:marBottom w:val="0"/>
      <w:divBdr>
        <w:top w:val="none" w:sz="0" w:space="0" w:color="auto"/>
        <w:left w:val="none" w:sz="0" w:space="0" w:color="auto"/>
        <w:bottom w:val="none" w:sz="0" w:space="0" w:color="auto"/>
        <w:right w:val="none" w:sz="0" w:space="0" w:color="auto"/>
      </w:divBdr>
    </w:div>
    <w:div w:id="2467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982</TotalTime>
  <Pages>3</Pages>
  <Words>384</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Vallejos</dc:creator>
  <cp:lastModifiedBy>David</cp:lastModifiedBy>
  <cp:revision>37</cp:revision>
  <dcterms:created xsi:type="dcterms:W3CDTF">2013-11-12T14:53:00Z</dcterms:created>
  <dcterms:modified xsi:type="dcterms:W3CDTF">2013-12-10T15:06:00Z</dcterms:modified>
</cp:coreProperties>
</file>